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5DB53D">
      <w:pPr>
        <w:widowControl/>
        <w:spacing w:before="0" w:beforeLines="0" w:beforeAutospacing="0" w:after="0" w:afterLines="0" w:afterAutospacing="0" w:line="240" w:lineRule="auto"/>
        <w:jc w:val="left"/>
        <w:rPr>
          <w:rFonts w:ascii="宋体" w:eastAsia="宋体"/>
          <w:sz w:val="32"/>
          <w:szCs w:val="32"/>
        </w:rPr>
      </w:pPr>
    </w:p>
    <w:p w14:paraId="6F991F38">
      <w:pPr>
        <w:widowControl/>
        <w:spacing w:before="0" w:beforeLines="0" w:beforeAutospacing="0" w:after="0" w:afterLines="0" w:afterAutospacing="0" w:line="240" w:lineRule="auto"/>
        <w:jc w:val="left"/>
        <w:rPr>
          <w:rFonts w:ascii="宋体" w:eastAsia="宋体"/>
          <w:sz w:val="44"/>
          <w:szCs w:val="44"/>
        </w:rPr>
      </w:pPr>
    </w:p>
    <w:p w14:paraId="288F4C3D">
      <w:pPr>
        <w:widowControl/>
        <w:spacing w:before="0" w:beforeLines="0" w:beforeAutospacing="0" w:after="0" w:afterLines="0" w:afterAutospacing="0" w:line="240" w:lineRule="auto"/>
        <w:jc w:val="left"/>
        <w:rPr>
          <w:rFonts w:ascii="宋体" w:eastAsia="宋体"/>
          <w:sz w:val="44"/>
          <w:szCs w:val="44"/>
        </w:rPr>
      </w:pPr>
    </w:p>
    <w:p w14:paraId="2DAF76FF">
      <w:pPr>
        <w:widowControl/>
        <w:spacing w:before="0" w:beforeLines="0" w:beforeAutospacing="0" w:after="0" w:afterLines="0" w:afterAutospacing="0" w:line="240" w:lineRule="auto"/>
        <w:jc w:val="left"/>
        <w:rPr>
          <w:rFonts w:ascii="宋体" w:eastAsia="宋体"/>
          <w:sz w:val="44"/>
          <w:szCs w:val="44"/>
        </w:rPr>
      </w:pPr>
    </w:p>
    <w:p w14:paraId="0F40EE13">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塔城地区无线电管理中心</w:t>
      </w:r>
    </w:p>
    <w:p w14:paraId="6A26EC21">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14:paraId="24D06CA5">
      <w:pPr>
        <w:widowControl/>
      </w:pPr>
      <w:r>
        <w:rPr>
          <w:b w:val="0"/>
          <w:sz w:val="0"/>
          <w:szCs w:val="0"/>
        </w:rPr>
        <w:br w:type="page"/>
      </w:r>
    </w:p>
    <w:p w14:paraId="2977DC62">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4F5A850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5E2B935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1692580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14:paraId="0708D44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64F05A0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70859F4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5F7B91C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6D8D4BA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76EC653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373E98A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0D0FBB0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0867905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539296D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7869B9B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773CED5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5DF05BE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1ACD348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38B74D4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52EA996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7375FEA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06A1574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67C1BAE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05730B7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13A6F18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01FF75F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70F2624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1931C38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67665D5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50491AC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328EEC9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535B445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3A9A950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76D97A7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25A4AFE6">
      <w:pPr>
        <w:widowControl/>
      </w:pPr>
      <w:r>
        <w:rPr>
          <w:b w:val="0"/>
          <w:sz w:val="0"/>
          <w:szCs w:val="0"/>
        </w:rPr>
        <w:br w:type="page"/>
      </w:r>
    </w:p>
    <w:p w14:paraId="493D0ED1">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 单位概况</w:t>
      </w:r>
    </w:p>
    <w:p w14:paraId="67F6C26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 一、主要职能</w:t>
      </w:r>
    </w:p>
    <w:p w14:paraId="1971E6B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中华人民共和国无线电管理条例》《自治区党委编委关于印发&lt;新疆维吾尔自治区工业和信息化厅所属事业单位改革方案&gt;的通知》（新党编委〔2024〕127号）。塔城地区无线电管理局是新疆维吾尔自治区工业和信息化厅派驻塔城地区负责无线电管理工作的公益一类事业单位，其主要职责任务是：负责本行政区域除军事系统外的无线电管理工作。贯彻落实国家和自治区无线电管理的法规、规章、政策；根据审批权限实施无线电频率使用许可，审查无线电台（站）的建设布局和台址，核发无线电台执照及无线电台识别码（含呼号）；负责本行政区域无线电监测和干扰查处；协调处理本行政区域无线电管理相关事宜。负责本行政区域无线电管理的行政执法检查，按照有关规定对无线电台(站)的设置、使用和无线电发射设备的研制、生产、进口、销售实施监督检查，征收无线电频率占用费，依法组织实施无线电管制。</w:t>
      </w:r>
    </w:p>
    <w:p w14:paraId="0FE54F5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14:paraId="4362D37D">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eastAsia="zh-CN"/>
        </w:rPr>
      </w:pPr>
      <w:r>
        <w:rPr>
          <w:rFonts w:ascii="仿宋_GB2312" w:eastAsia="仿宋_GB2312"/>
          <w:b w:val="0"/>
          <w:sz w:val="32"/>
          <w:szCs w:val="32"/>
        </w:rPr>
        <w:t>塔城地区无线电管理中心2024年度，实有人数9人，其中：在职人员5人，较上年无变化；离休人员0人，较上年无变化；退休人员4人，较上年无变化</w:t>
      </w:r>
      <w:r>
        <w:rPr>
          <w:rFonts w:hint="eastAsia" w:ascii="仿宋_GB2312" w:eastAsia="仿宋_GB2312"/>
          <w:b w:val="0"/>
          <w:sz w:val="32"/>
          <w:szCs w:val="32"/>
          <w:lang w:eastAsia="zh-CN"/>
        </w:rPr>
        <w:t>。</w:t>
      </w:r>
    </w:p>
    <w:p w14:paraId="3FFBD38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塔城地区无线电管理中心无下属预算单位，下设3个科室，分别是：综合科、业务科、监测站。</w:t>
      </w:r>
    </w:p>
    <w:p w14:paraId="50C2897C">
      <w:pPr>
        <w:widowControl/>
      </w:pPr>
      <w:r>
        <w:rPr>
          <w:b w:val="0"/>
          <w:sz w:val="0"/>
          <w:szCs w:val="0"/>
        </w:rPr>
        <w:br w:type="page"/>
      </w:r>
    </w:p>
    <w:p w14:paraId="32EEDB4C">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429B4D3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4A4E1EE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2024年度收入总计194.34万元，其中：本年收入合计183.82万元，使用非财政拨款结余（含专用结余）10.40万元，年初结转和结余0.12万元。</w:t>
      </w:r>
    </w:p>
    <w:p w14:paraId="1099079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2024年度支出总计194.34万元，其中：本年支出合计192.45万元，结余分配0.00万元，年末结转和结余1.89万元。</w:t>
      </w:r>
    </w:p>
    <w:p w14:paraId="12762CC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11.74万元，增长6.43%，主要原因是：一是一般公共预算财政拨款收入较上年增加16.71万元，（1）基本支出收入较上年减少18.02万元，主要原因是我单位1人由在职转为退休，相关经费有所减少。（2）项目支出收入较上年增加1.31万元，为无线电技术设施运行维护费较上年增加。二是其他收入较上年增加17.99万元，主要是2024年房租收入有所增加。三是使用非财政拨款结余较上年增加10.40万元，主要原因是积极消化非财政拨款结转结余资金。四是年初结转和结余较上年增加0.05万元，主要是银行利息收入较上年减少。综上各项资金有增有减，因此2024年度收入支出总计较上年增加。</w:t>
      </w:r>
    </w:p>
    <w:p w14:paraId="665DC24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5FE9590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本年收入183.82万元，其中：财政拨款收入165.78万元,占90.19%；上级补助收入0.00万元,占0.00%；事业收入0.00万元，占0.00%；经营收入0.00万元,占0.00%；附属单位上缴收入0.00万元，占0.00%；其他收入18.04万元，占9.81%。</w:t>
      </w:r>
    </w:p>
    <w:p w14:paraId="28C45DB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794DEC3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本年支出192.45万元，其中：基本支出97.80万元，占50.82%；项目支出94.65万元，占49.18%；上缴上级支出0.00万元，占0.00%；经营支出0.00万元，占0.00%；对附属单位补助支出0.00万元，占0.00%。</w:t>
      </w:r>
    </w:p>
    <w:p w14:paraId="5240563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601A261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2024年度财政拨款收入总计165.78万元，其中：年初财政拨款结转和结余0.00万元，本年财政拨款收入165.78万元。财政拨款支出总计165.78万元，其中：年末财政拨款结转和结余0.00万元，本年财政拨款支出165.78万元。</w:t>
      </w:r>
    </w:p>
    <w:p w14:paraId="4EE1010D">
      <w:pPr>
        <w:widowControl/>
        <w:spacing w:before="0" w:beforeLines="0" w:beforeAutospacing="0" w:after="0" w:afterLines="0" w:afterAutospacing="0" w:line="240" w:lineRule="auto"/>
        <w:ind w:firstLine="640" w:firstLineChars="200"/>
        <w:jc w:val="both"/>
        <w:rPr>
          <w:rFonts w:ascii="仿宋_GB2312" w:eastAsia="仿宋_GB2312"/>
          <w:b w:val="0"/>
          <w:color w:val="auto"/>
          <w:sz w:val="32"/>
          <w:szCs w:val="32"/>
          <w:highlight w:val="none"/>
        </w:rPr>
      </w:pPr>
      <w:r>
        <w:rPr>
          <w:rFonts w:ascii="仿宋_GB2312" w:eastAsia="仿宋_GB2312"/>
          <w:b w:val="0"/>
          <w:sz w:val="32"/>
          <w:szCs w:val="32"/>
        </w:rPr>
        <w:t>财政拨款收入支出总体与上年相比，减少16.71万元，下降9.16%，主要原因是：一是基本支出收入较上年减少18.02万元，主要原因是我单位1人由在职转为退休，相关经费有所减少。二是项目支出收入较上年增加1.31万元，为无线电技术设施运行维护费较上年增加。与年初预算相比，年初预算数163.70万元，决算数165.78万元，预决算差异率1.27%，主要原因是：</w:t>
      </w:r>
      <w:r>
        <w:rPr>
          <w:rFonts w:hint="eastAsia" w:ascii="仿宋_GB2312" w:eastAsia="仿宋_GB2312"/>
          <w:b w:val="0"/>
          <w:color w:val="auto"/>
          <w:sz w:val="32"/>
          <w:szCs w:val="32"/>
          <w:highlight w:val="none"/>
        </w:rPr>
        <w:t>在年度执行中，根据自治区财政厅下达文件追加及调减预算，一是追加一般公共预算财政拨款基本预算人员类项目6.93万元；二是响应过“紧日子”要求，主动压减一般性支出，调减年初一般公共预算财政拨款基本预算公用经费4.43万元；三是调减年初一般公共预算财政拨款项目预算中央无线电管理经费项目0.42万元。由于以上事项，与年初预算数存在差异。</w:t>
      </w:r>
    </w:p>
    <w:p w14:paraId="78DE87B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574DF233">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（一）一般公共预算财政拨款支出决算总体情况</w:t>
      </w:r>
    </w:p>
    <w:p w14:paraId="63AD9C22">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yellow"/>
        </w:rPr>
      </w:pPr>
      <w:r>
        <w:rPr>
          <w:rFonts w:ascii="仿宋_GB2312" w:eastAsia="仿宋_GB2312"/>
          <w:b w:val="0"/>
          <w:sz w:val="32"/>
          <w:szCs w:val="32"/>
        </w:rPr>
        <w:t>2024年度一般公共预算财政拨款支出165.78万元，占本年支出合计的86.14%。与上年相比，减少16.71万元，下降9.16%，主要原因是：一是基本支出收入较上年减少18.02万元，主要原因是我单位1人由在职转为退休，相关经费有所减少。二是项目支出收入较上年增加1.31万元，为无线电技术设施运行维护费较上年增加。与年初预算相比，年初预算数163.70万元，决算数165.78万元，预决算差异率1.27%，</w:t>
      </w:r>
      <w:r>
        <w:rPr>
          <w:rFonts w:hint="eastAsia" w:ascii="仿宋_GB2312" w:eastAsia="仿宋_GB2312"/>
          <w:b w:val="0"/>
          <w:sz w:val="32"/>
          <w:szCs w:val="32"/>
          <w:highlight w:val="none"/>
        </w:rPr>
        <w:t>在年度执行中，根据自治区财政厅下达文件追加及调减预算，一是追加一般公共预算财政拨款基本预算人员</w:t>
      </w:r>
      <w:bookmarkStart w:id="0" w:name="_GoBack"/>
      <w:bookmarkEnd w:id="0"/>
      <w:r>
        <w:rPr>
          <w:rFonts w:hint="eastAsia" w:ascii="仿宋_GB2312" w:eastAsia="仿宋_GB2312"/>
          <w:b w:val="0"/>
          <w:sz w:val="32"/>
          <w:szCs w:val="32"/>
          <w:highlight w:val="none"/>
        </w:rPr>
        <w:t>类项目6.93万元；二是响应过“紧日子”要求，主动压减一般性支出，调减年初一般公共预算财政拨款基本预算公用经费4.43万元；三是调减年初一般公共预算财政拨款项目预算中央无线电管理经费项目0.42万元。由于以上事项，与年初预算数存在差异。</w:t>
      </w:r>
    </w:p>
    <w:p w14:paraId="48037CC1">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（二）一般公共预算财政拨款支出决算结构情况</w:t>
      </w:r>
    </w:p>
    <w:p w14:paraId="350CD17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社会保障和就业支出（类）16.23万元，占9.79%。</w:t>
      </w:r>
    </w:p>
    <w:p w14:paraId="746544C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卫生健康支出（类）5.84万元，占3.52%。</w:t>
      </w:r>
    </w:p>
    <w:p w14:paraId="40BE1F6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资源勘探工业信息等支出（类）138.23万元，占83.38%。</w:t>
      </w:r>
    </w:p>
    <w:p w14:paraId="14F6556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住房保障支出（类）5.48万元，占3.31%。</w:t>
      </w:r>
    </w:p>
    <w:p w14:paraId="0E7C3FD0">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（三）一般公共预算财政拨款支出决算具体情况</w:t>
      </w:r>
    </w:p>
    <w:p w14:paraId="78D199DE">
      <w:pPr>
        <w:widowControl/>
        <w:spacing w:before="0" w:beforeLines="0" w:beforeAutospacing="0" w:after="0" w:afterLines="0" w:afterAutospacing="0" w:line="240" w:lineRule="auto"/>
        <w:ind w:firstLine="640" w:firstLineChars="200"/>
        <w:rPr>
          <w:rFonts w:hint="eastAsia" w:ascii="仿宋_GB2312" w:eastAsia="仿宋_GB2312"/>
          <w:b w:val="0"/>
          <w:sz w:val="32"/>
          <w:szCs w:val="32"/>
        </w:rPr>
      </w:pPr>
      <w:r>
        <w:rPr>
          <w:rFonts w:ascii="仿宋_GB2312" w:eastAsia="仿宋_GB2312"/>
          <w:b w:val="0"/>
          <w:sz w:val="32"/>
          <w:szCs w:val="32"/>
        </w:rPr>
        <w:t>1、社会保障和就业支出（类）行政事业单位养老支出（款）事业单位离退休（项）：支出决算数为8.60万元，比上年决算增加2.76万元，增长47.26%，主要原因是：</w:t>
      </w:r>
      <w:r>
        <w:rPr>
          <w:rFonts w:hint="eastAsia" w:ascii="仿宋_GB2312" w:eastAsia="仿宋_GB2312"/>
          <w:b w:val="0"/>
          <w:sz w:val="32"/>
          <w:szCs w:val="32"/>
        </w:rPr>
        <w:t>退休人员待遇调增。</w:t>
      </w:r>
    </w:p>
    <w:p w14:paraId="2DE80E36">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2、社会保障和就业支出（类）行政事业单位养老支出（款）机关事业单位基本养老保险缴费支出（项）：支出决算数为7.63万元，比上年决算减少0.06万元，下降0.78%，主要原因是：在职人员较上年减少1人。</w:t>
      </w:r>
    </w:p>
    <w:p w14:paraId="29D50708">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0.00万元，比上年决算减少11.24万元，下降100.00%，主要原因是：本年未安排机关事业单位职业年金缴费支出预算。</w:t>
      </w:r>
    </w:p>
    <w:p w14:paraId="4E5DED6F">
      <w:pPr>
        <w:widowControl/>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4、卫生健康支出（类）行政事业单位医疗（款）事业单位医疗（项）：支出决算数为3.94万元，比上年决算减0.57万元，下降12.64%，主要原因是：在职人员较上年减少1人</w:t>
      </w:r>
      <w:r>
        <w:rPr>
          <w:rFonts w:hint="eastAsia" w:ascii="仿宋_GB2312" w:eastAsia="仿宋_GB2312"/>
          <w:b w:val="0"/>
          <w:sz w:val="32"/>
          <w:szCs w:val="32"/>
          <w:lang w:eastAsia="zh-CN"/>
        </w:rPr>
        <w:t>。</w:t>
      </w:r>
    </w:p>
    <w:p w14:paraId="4B5ACF79">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5、卫生健康支出（类）行政事业单位医疗（款）公务员医疗补助（项）：支出决算数为1.91万元，比上年决算减少0.26万元，下降11.98%，主要原因是：在职人员较上年减少1人</w:t>
      </w:r>
    </w:p>
    <w:p w14:paraId="16A3E91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资源勘探工业信息等支出（类）工业和信息产业监管（款）无线电及信息通信监管（项）：支出决算数为138.23万元，比上年决算减少7.49万元，下降5.14%，主要原是：一是一般公共预算财政拨款基本支出较上年减少8.81万元，其中人员经费较上年减少5.66万元、日常公用经费较上年减少3.15万元；二是一般公共预算财政拨款项目支出较上年增加1.32万元。</w:t>
      </w:r>
    </w:p>
    <w:p w14:paraId="5BB09D62">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7、住房保障支出（类）住房改革支出（款）住房公积金（项）：支出决算数为5.48万元，比上年决算增加0.16</w:t>
      </w:r>
      <w:r>
        <w:rPr>
          <w:rFonts w:hint="eastAsia" w:ascii="仿宋_GB2312" w:eastAsia="仿宋_GB2312"/>
          <w:b w:val="0"/>
          <w:sz w:val="32"/>
          <w:szCs w:val="32"/>
          <w:lang w:val="en-US" w:eastAsia="zh-CN"/>
        </w:rPr>
        <w:t>万</w:t>
      </w:r>
      <w:r>
        <w:rPr>
          <w:rFonts w:ascii="仿宋_GB2312" w:eastAsia="仿宋_GB2312"/>
          <w:b w:val="0"/>
          <w:sz w:val="32"/>
          <w:szCs w:val="32"/>
        </w:rPr>
        <w:t>元，增长3.01%，主要原因是：在职人员调资，住房公积金缴费按比例增长。</w:t>
      </w:r>
    </w:p>
    <w:p w14:paraId="72F3488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5EFAB05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97.80万元，其中：人员经费83.90万元，包括：基本工资、津贴补贴、奖金、绩效工资、机关事业单位基本养老保险缴费、职工基本医疗保险缴费、公务员医疗补助缴费、其他社会保障缴费、住房公积金、退休费和其他对个人和家庭的补助。</w:t>
      </w:r>
    </w:p>
    <w:p w14:paraId="4AEC97E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公用经费13.89万元，包括：办公费、水费、电费、邮电费、取暖费、差旅费、工会经费、福利费、公务用车运行维护费和其他商品和服务支出。</w:t>
      </w:r>
    </w:p>
    <w:p w14:paraId="7D79709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577DA8F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26CF2C4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17D814E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2497BD6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44C3C1D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9.41万元，比上年减少0.51万元，下降5.14%，主要原因是：严格执行中央八项规定及相关细则，做到“三公”经费只减不增，无预算不支出。其中：因公出国（境）费支出0.00万元,占0.00%，与上年相比无变化，主要原因是：我单位无因公出国（境）费；公务用车购置及运行维护费支出9.41万元，占100.00%，比上年减少0.51万元，下降5.14%，主要原因是：严格执行公务用车管理制度，合理控制公务用车运行费用；公务接待费支出0.00万元，占0.00%，与上年相比无变化，主要原因是：我单位无公务接待费。</w:t>
      </w:r>
    </w:p>
    <w:p w14:paraId="5E986564">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22F5C60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因公出国（境）费支出0.00万元，开支内容包括我单位无因公出国（境）费。单位全年安排的因公出国（境）团组0个，因公出国（境）0人次。</w:t>
      </w:r>
    </w:p>
    <w:p w14:paraId="5DD1BCC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9.41万元，其中：公务用车购置费0.00万元，公务用车运行维护费9.41万元。公务用车运行维护费开支内容包括车辆保险、停车过路费、车辆加油、车辆维修等费用。公务用车购置数0辆，公务用车保有量3辆。国有资产占用情况中固定资产车辆3辆，与公务用车保有量差异原因是：与公务用车保有量无差异。</w:t>
      </w:r>
    </w:p>
    <w:p w14:paraId="2FBAC93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公务接待费0.00万元，开支内容包括单位无公务接待费。单位全年安排的国内公务接待0批次，0人次。</w:t>
      </w:r>
    </w:p>
    <w:p w14:paraId="0C75D15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9.41万元，决算数9.41万元，预决算差异率0.00%，主要原因是：严格执行中央八项规定及实施细则，做到“三公”经费只减不增，无预算不支出。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9.41万元，决算数9.41万元，预决算差异率0.00%，主要原因是：严格执行中央八项规定及实施细则，做到“三公”经费只减不增，无预算不支出；公务接待费全年预算数0.00万元，决算数0.00万元，预决算差异率0.00%，主要原因是：我单位无公务接待费。</w:t>
      </w:r>
    </w:p>
    <w:p w14:paraId="3C90F16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65AD28FE">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（一）机关运行经费及公用经费支出情况</w:t>
      </w:r>
    </w:p>
    <w:p w14:paraId="0CDD1DC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塔城地区无线电管理中心单位（事业单位）公用经费支出13.89万元，比上年减少3.15万元，下降18.49%，主要原因是：本年在职人员较2023年相比减少1人及单位本着时刻过紧日子的要求，严格执行中央八项规定及实施细则，厉行节约公用经费，公用经费支出减少。</w:t>
      </w:r>
    </w:p>
    <w:p w14:paraId="0E74B497">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（二）政府采购情况</w:t>
      </w:r>
    </w:p>
    <w:p w14:paraId="399E6E7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2024年度政府采购支出总额77.89万元，其中：政府采购货物支出8.92万元、政府采购工程支出0.00万元、政府采购服务支出68.97万元。</w:t>
      </w:r>
    </w:p>
    <w:p w14:paraId="6E51EB1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授予中小企业合同金额43.28万元，占政府采购支出总额的55.57%，其中：授予小微企业合同金额15.55万元，占政府采购支出总额的19.96%。</w:t>
      </w:r>
    </w:p>
    <w:p w14:paraId="68789272">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（三）国有资产占用情况说明</w:t>
      </w:r>
    </w:p>
    <w:p w14:paraId="6BE781D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2,049.33平方米，价值636.33万元。车辆3辆，价值180.85万元，其中：副部（省）级及以上领导用车0辆、主要负责人用车0辆、机要通信用车0辆、应急保障用车0辆、执法执勤用车1辆、特种专业技术用车2辆、离退休干部服务用车0辆、其他用车0辆，其他用车主要是：我单位无其他用车;单价100万元（含）以上设备（不含车辆）4台（套）。</w:t>
      </w:r>
    </w:p>
    <w:p w14:paraId="6685A6E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70EBEFD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评价项目2个，全年预算数28.40万元，全年执行数26.67万元。预算绩效管理取得的成效：一是严格执行自治区工信厅预算绩效管理办法，日常对项目资金加快预算执行，确保绩效监控和绩效评价执行率，规范预算执行活动，发挥资金的最大效用，取得了良好的绩效成果；二是各项工作实施及资金使用情况均在绩效目标设定时限完成，在项目经费的使用上，在保证各项任务顺利完成的同时，严格落实厉行节约的原则；三是做好项目保障工作，确保项目质量和效益，助力经济高质量发展，维护社会稳定和长治久安。发现的问题及原因：组织开展项目绩效评价工作时,因项目采购、合同执行周期长，致使项目在绩效监控节时，影响单位整体绩效评价总体分值。发现的问题及原因：一是组织开展项目绩效评价工作时,因项目采购、合同执行周期长，致使项目在绩效监控节时，影响单位整体绩效评价总体分值；二是对于项目支出，虽然设立了项目资金绩效目标，但部分目标设置不够明确、细化和量化。下一步改进措施：一是完善各项内控制度，建立上下协调、科室联动、层层抓落实的工作责任制，将绩效管理责任分解落实到具体科室、明确到具体责任人，确保每一笔资金花得安全、用得高效；二是在编制项目资金绩效目标时，要求指向明确，细化量化、合理可行、相应匹配。以利于对工作的有效指导、过程的有效控制、结果的精确评价。具体附项目支出绩效自评表。</w:t>
      </w:r>
    </w:p>
    <w:p w14:paraId="4FB5E50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4451CA9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14:paraId="5BE7E810">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5D5C4C98">
      <w:pPr>
        <w:widowControl/>
      </w:pPr>
      <w:r>
        <w:rPr>
          <w:b w:val="0"/>
          <w:sz w:val="0"/>
          <w:szCs w:val="0"/>
        </w:rPr>
        <w:br w:type="page"/>
      </w:r>
    </w:p>
    <w:p w14:paraId="04CF1382">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5B526B9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1237293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2C36932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1EEC031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75E2981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0CA4995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14:paraId="20713A0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682CB59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AC3C9B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69DD36A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4843D43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20EDE42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7691081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BE71A0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0E9816EC">
      <w:pPr>
        <w:widowControl/>
      </w:pPr>
      <w:r>
        <w:rPr>
          <w:b w:val="0"/>
          <w:sz w:val="0"/>
          <w:szCs w:val="0"/>
        </w:rPr>
        <w:br w:type="page"/>
      </w:r>
    </w:p>
    <w:p w14:paraId="4602B798">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0B1492C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4B02530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4D9E24E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00CD9B29">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1CDC367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06C3315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1A92888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074F55E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7A6157E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000000"/>
    <w:rsid w:val="0FEB1C2B"/>
    <w:rsid w:val="14D902A4"/>
    <w:rsid w:val="1CA052F9"/>
    <w:rsid w:val="1F9000F9"/>
    <w:rsid w:val="232144AA"/>
    <w:rsid w:val="28FE60D3"/>
    <w:rsid w:val="32B351C0"/>
    <w:rsid w:val="36AF3103"/>
    <w:rsid w:val="36BE6EA2"/>
    <w:rsid w:val="41BE2892"/>
    <w:rsid w:val="41E9571B"/>
    <w:rsid w:val="456A6B72"/>
    <w:rsid w:val="45D109A0"/>
    <w:rsid w:val="4B2A17F4"/>
    <w:rsid w:val="5CC826A5"/>
    <w:rsid w:val="5FE80968"/>
    <w:rsid w:val="62CD64C5"/>
    <w:rsid w:val="6D0B1319"/>
    <w:rsid w:val="71E76CD1"/>
    <w:rsid w:val="7E3808B5"/>
    <w:rsid w:val="7EF045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6629</Words>
  <Characters>7489</Characters>
  <TotalTime>969</TotalTime>
  <ScaleCrop>false</ScaleCrop>
  <LinksUpToDate>false</LinksUpToDate>
  <CharactersWithSpaces>7499</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2025-08-25T10:08:00Z</dcterms:created>
  <dc:creator>Administrator</dc:creator>
  <cp:lastModifiedBy>久溺深海</cp:lastModifiedBy>
  <dcterms:modified xsi:type="dcterms:W3CDTF">2025-08-27T04:04:10Z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eyJoZGlkIjoiNmZkMjYyYzAxYjhmOGVmYjRhNDdiNWU4MjMwYTAyNjgiLCJ1c2VySWQiOiIyNTIzNDE3MTMifQ==</vt:lpwstr>
  </property>
  <property fmtid="{D5CDD505-2E9C-101B-9397-08002B2CF9AE}" pid="3" name="KSOProductBuildVer">
    <vt:lpwstr>2052-12.1.0.22529</vt:lpwstr>
  </property>
  <property fmtid="{D5CDD505-2E9C-101B-9397-08002B2CF9AE}" pid="4" name="ICV">
    <vt:lpwstr>A0A836E5AB464BD08409039B72C62C60_12</vt:lpwstr>
  </property>
</Properties>
</file>